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AD48F" w14:textId="77777777" w:rsidR="004113C6" w:rsidRDefault="004113C6" w:rsidP="004113C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48"/>
          <w:szCs w:val="48"/>
        </w:rPr>
        <w:t>501(c)(4)</w:t>
      </w:r>
    </w:p>
    <w:p w14:paraId="6E7952E7" w14:textId="77777777" w:rsidR="004113C6" w:rsidRDefault="004113C6" w:rsidP="004113C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8"/>
        </w:rPr>
        <w:t xml:space="preserve">See also: </w:t>
      </w:r>
      <w:hyperlink r:id="rId4" w:history="1">
        <w:r>
          <w:rPr>
            <w:rFonts w:ascii="Helvetica" w:hAnsi="Helvetica" w:cs="Helvetica"/>
            <w:color w:val="0000FF"/>
            <w:sz w:val="28"/>
            <w:szCs w:val="28"/>
            <w:u w:val="single" w:color="0000FF"/>
          </w:rPr>
          <w:t>Citizens United v. Federal Election Commission</w:t>
        </w:r>
      </w:hyperlink>
    </w:p>
    <w:p w14:paraId="3F6E69C5" w14:textId="77777777" w:rsidR="004113C6" w:rsidRDefault="004113C6" w:rsidP="004113C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8"/>
        </w:rPr>
        <w:t xml:space="preserve">501(c)(4) organizations are generally civic leagues and other corporations operated exclusively for the promotion of </w:t>
      </w:r>
      <w:hyperlink r:id="rId5" w:history="1">
        <w:r>
          <w:rPr>
            <w:rFonts w:ascii="Helvetica" w:hAnsi="Helvetica" w:cs="Helvetica"/>
            <w:color w:val="0000FF"/>
            <w:sz w:val="28"/>
            <w:szCs w:val="28"/>
            <w:u w:val="single" w:color="0000FF"/>
          </w:rPr>
          <w:t>social welfare</w:t>
        </w:r>
      </w:hyperlink>
      <w:r>
        <w:rPr>
          <w:rFonts w:ascii="Helvetica" w:hAnsi="Helvetica" w:cs="Helvetica"/>
          <w:sz w:val="28"/>
          <w:szCs w:val="28"/>
        </w:rPr>
        <w:t>, or local associations of employees with membership limited to a designated company or people in a particular municipality or neighborhood, and with net earnings devoted exclusively to charitable, educational, or recreational purposes.</w:t>
      </w:r>
      <w:hyperlink r:id="rId6" w:anchor="cite_note-29" w:history="1">
        <w:r>
          <w:rPr>
            <w:rFonts w:ascii="Helvetica" w:hAnsi="Helvetica" w:cs="Helvetica"/>
            <w:color w:val="0000FF"/>
            <w:sz w:val="28"/>
            <w:szCs w:val="28"/>
            <w:u w:val="single" w:color="0000FF"/>
            <w:vertAlign w:val="superscript"/>
          </w:rPr>
          <w:t>[30]</w:t>
        </w:r>
      </w:hyperlink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color w:val="FB0007"/>
          <w:sz w:val="28"/>
          <w:szCs w:val="28"/>
        </w:rPr>
        <w:t>501(c)(4) organizations may lobby for legislation, and unlike 501(c)(3) organizations they may also participate in political campaigns and elections,</w:t>
      </w:r>
      <w:r>
        <w:rPr>
          <w:rFonts w:ascii="Helvetica" w:hAnsi="Helvetica" w:cs="Helvetica"/>
          <w:sz w:val="28"/>
          <w:szCs w:val="28"/>
        </w:rPr>
        <w:t xml:space="preserve"> as long as its primary activity is the promotion of social welfare.</w:t>
      </w:r>
      <w:hyperlink r:id="rId7" w:anchor="cite_note-30" w:history="1">
        <w:r>
          <w:rPr>
            <w:rFonts w:ascii="Helvetica" w:hAnsi="Helvetica" w:cs="Helvetica"/>
            <w:color w:val="0000FF"/>
            <w:sz w:val="28"/>
            <w:szCs w:val="28"/>
            <w:u w:val="single" w:color="0000FF"/>
            <w:vertAlign w:val="superscript"/>
          </w:rPr>
          <w:t>[31]</w:t>
        </w:r>
      </w:hyperlink>
      <w:r>
        <w:rPr>
          <w:rFonts w:ascii="Helvetica" w:hAnsi="Helvetica" w:cs="Helvetica"/>
          <w:sz w:val="28"/>
          <w:szCs w:val="28"/>
        </w:rPr>
        <w:t xml:space="preserve"> The tax exemption for 501(c)(4) organizations applies to most of their operations, but contributions may be subject to gift tax, and income spent on political activities - generally the advocacy of a particular candidate in an election - is taxable.</w:t>
      </w:r>
      <w:hyperlink r:id="rId8" w:anchor="cite_note-31" w:history="1">
        <w:r>
          <w:rPr>
            <w:rFonts w:ascii="Helvetica" w:hAnsi="Helvetica" w:cs="Helvetica"/>
            <w:color w:val="0000FF"/>
            <w:sz w:val="28"/>
            <w:szCs w:val="28"/>
            <w:u w:val="single" w:color="0000FF"/>
            <w:vertAlign w:val="superscript"/>
          </w:rPr>
          <w:t>[32]</w:t>
        </w:r>
      </w:hyperlink>
    </w:p>
    <w:p w14:paraId="09DC7C2B" w14:textId="77777777" w:rsidR="004113C6" w:rsidRDefault="004113C6" w:rsidP="004113C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color w:val="FB0007"/>
          <w:sz w:val="28"/>
          <w:szCs w:val="28"/>
        </w:rPr>
        <w:t>Contributions to 501(c)(4) organizations are not deductible as charitable contributions for the U.S. income tax. 501(c)(4) organizations are not required to disclose their donors publicly.</w:t>
      </w:r>
      <w:hyperlink r:id="rId9" w:anchor="cite_note-32" w:history="1">
        <w:r>
          <w:rPr>
            <w:rFonts w:ascii="Helvetica" w:hAnsi="Helvetica" w:cs="Helvetica"/>
            <w:color w:val="FB0007"/>
            <w:sz w:val="28"/>
            <w:szCs w:val="28"/>
            <w:u w:val="single"/>
            <w:vertAlign w:val="superscript"/>
          </w:rPr>
          <w:t>[33]</w:t>
        </w:r>
      </w:hyperlink>
      <w:r>
        <w:rPr>
          <w:rFonts w:ascii="Helvetica" w:hAnsi="Helvetica" w:cs="Helvetica"/>
          <w:color w:val="FB0007"/>
          <w:sz w:val="28"/>
          <w:szCs w:val="28"/>
        </w:rPr>
        <w:t xml:space="preserve"> This aspect of the law has led to extensive use of the 501(c)(4) provisions for organizations that are actively involved in lobbying, and has become controversial</w:t>
      </w:r>
      <w:r>
        <w:rPr>
          <w:rFonts w:ascii="Helvetica" w:hAnsi="Helvetica" w:cs="Helvetica"/>
          <w:sz w:val="28"/>
          <w:szCs w:val="28"/>
        </w:rPr>
        <w:t>.</w:t>
      </w:r>
      <w:hyperlink r:id="rId10" w:anchor="cite_note-33" w:history="1">
        <w:r>
          <w:rPr>
            <w:rFonts w:ascii="Helvetica" w:hAnsi="Helvetica" w:cs="Helvetica"/>
            <w:color w:val="0000FF"/>
            <w:sz w:val="28"/>
            <w:szCs w:val="28"/>
            <w:u w:val="single" w:color="0000FF"/>
            <w:vertAlign w:val="superscript"/>
          </w:rPr>
          <w:t>[34]</w:t>
        </w:r>
      </w:hyperlink>
      <w:hyperlink r:id="rId11" w:anchor="cite_note-34" w:history="1">
        <w:r>
          <w:rPr>
            <w:rFonts w:ascii="Helvetica" w:hAnsi="Helvetica" w:cs="Helvetica"/>
            <w:color w:val="0000FF"/>
            <w:sz w:val="28"/>
            <w:szCs w:val="28"/>
            <w:u w:val="single" w:color="0000FF"/>
            <w:vertAlign w:val="superscript"/>
          </w:rPr>
          <w:t>[35]</w:t>
        </w:r>
      </w:hyperlink>
      <w:r>
        <w:rPr>
          <w:rFonts w:ascii="Helvetica" w:hAnsi="Helvetica" w:cs="Helvetica"/>
          <w:sz w:val="28"/>
          <w:szCs w:val="28"/>
        </w:rPr>
        <w:t xml:space="preserve"> In 2010, a bill (the </w:t>
      </w:r>
      <w:hyperlink r:id="rId12" w:history="1">
        <w:r>
          <w:rPr>
            <w:rFonts w:ascii="Helvetica" w:hAnsi="Helvetica" w:cs="Helvetica"/>
            <w:color w:val="0000FF"/>
            <w:sz w:val="28"/>
            <w:szCs w:val="28"/>
            <w:u w:val="single" w:color="0000FF"/>
          </w:rPr>
          <w:t>DISCLOSE Act</w:t>
        </w:r>
      </w:hyperlink>
      <w:r>
        <w:rPr>
          <w:rFonts w:ascii="Helvetica" w:hAnsi="Helvetica" w:cs="Helvetica"/>
          <w:sz w:val="28"/>
          <w:szCs w:val="28"/>
        </w:rPr>
        <w:t>) was passed by the U.S. House of Representatives that addressed identification of donors to organizations involved in political advocacy,</w:t>
      </w:r>
      <w:hyperlink r:id="rId13" w:anchor="cite_note-35" w:history="1">
        <w:r>
          <w:rPr>
            <w:rFonts w:ascii="Helvetica" w:hAnsi="Helvetica" w:cs="Helvetica"/>
            <w:color w:val="0000FF"/>
            <w:sz w:val="28"/>
            <w:szCs w:val="28"/>
            <w:u w:val="single" w:color="0000FF"/>
            <w:vertAlign w:val="superscript"/>
          </w:rPr>
          <w:t>[36]</w:t>
        </w:r>
      </w:hyperlink>
      <w:r>
        <w:rPr>
          <w:rFonts w:ascii="Helvetica" w:hAnsi="Helvetica" w:cs="Helvetica"/>
          <w:sz w:val="28"/>
          <w:szCs w:val="28"/>
        </w:rPr>
        <w:t xml:space="preserve"> but the Senate Republicans filibustered and prevented a vote on the bill.</w:t>
      </w:r>
      <w:hyperlink r:id="rId14" w:anchor="cite_note-36" w:history="1">
        <w:r>
          <w:rPr>
            <w:rFonts w:ascii="Helvetica" w:hAnsi="Helvetica" w:cs="Helvetica"/>
            <w:color w:val="0000FF"/>
            <w:sz w:val="28"/>
            <w:szCs w:val="28"/>
            <w:u w:val="single" w:color="0000FF"/>
            <w:vertAlign w:val="superscript"/>
          </w:rPr>
          <w:t>[37]</w:t>
        </w:r>
      </w:hyperlink>
    </w:p>
    <w:p w14:paraId="6A9429AD" w14:textId="77777777" w:rsidR="004113C6" w:rsidRDefault="004113C6" w:rsidP="004113C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8"/>
        </w:rPr>
        <w:t xml:space="preserve">In summer 2011, comedian </w:t>
      </w:r>
      <w:hyperlink r:id="rId15" w:history="1">
        <w:r>
          <w:rPr>
            <w:rFonts w:ascii="Helvetica" w:hAnsi="Helvetica" w:cs="Helvetica"/>
            <w:color w:val="0000FF"/>
            <w:sz w:val="28"/>
            <w:szCs w:val="28"/>
            <w:u w:val="single" w:color="0000FF"/>
          </w:rPr>
          <w:t>Stephen Colbert</w:t>
        </w:r>
      </w:hyperlink>
      <w:r>
        <w:rPr>
          <w:rFonts w:ascii="Helvetica" w:hAnsi="Helvetica" w:cs="Helvetica"/>
          <w:sz w:val="28"/>
          <w:szCs w:val="28"/>
        </w:rPr>
        <w:t xml:space="preserve"> brought attention to the issue of </w:t>
      </w:r>
      <w:hyperlink r:id="rId16" w:history="1">
        <w:r>
          <w:rPr>
            <w:rFonts w:ascii="Helvetica" w:hAnsi="Helvetica" w:cs="Helvetica"/>
            <w:color w:val="0000FF"/>
            <w:sz w:val="28"/>
            <w:szCs w:val="28"/>
            <w:u w:val="single" w:color="0000FF"/>
          </w:rPr>
          <w:t>Super PACs</w:t>
        </w:r>
      </w:hyperlink>
      <w:r>
        <w:rPr>
          <w:rFonts w:ascii="Helvetica" w:hAnsi="Helvetica" w:cs="Helvetica"/>
          <w:sz w:val="28"/>
          <w:szCs w:val="28"/>
        </w:rPr>
        <w:t xml:space="preserve"> by forming </w:t>
      </w:r>
      <w:hyperlink r:id="rId17" w:history="1">
        <w:r>
          <w:rPr>
            <w:rFonts w:ascii="Helvetica" w:hAnsi="Helvetica" w:cs="Helvetica"/>
            <w:color w:val="0000FF"/>
            <w:sz w:val="28"/>
            <w:szCs w:val="28"/>
            <w:u w:val="single" w:color="0000FF"/>
          </w:rPr>
          <w:t>his own</w:t>
        </w:r>
      </w:hyperlink>
      <w:r>
        <w:rPr>
          <w:rFonts w:ascii="Helvetica" w:hAnsi="Helvetica" w:cs="Helvetica"/>
          <w:sz w:val="28"/>
          <w:szCs w:val="28"/>
        </w:rPr>
        <w:t xml:space="preserve"> and a 501(c)(4).</w:t>
      </w:r>
      <w:hyperlink r:id="rId18" w:anchor="cite_note-37" w:history="1">
        <w:r>
          <w:rPr>
            <w:rFonts w:ascii="Helvetica" w:hAnsi="Helvetica" w:cs="Helvetica"/>
            <w:color w:val="0000FF"/>
            <w:sz w:val="28"/>
            <w:szCs w:val="28"/>
            <w:u w:val="single" w:color="0000FF"/>
            <w:vertAlign w:val="superscript"/>
          </w:rPr>
          <w:t>[38]</w:t>
        </w:r>
      </w:hyperlink>
      <w:r>
        <w:rPr>
          <w:rFonts w:ascii="Helvetica" w:hAnsi="Helvetica" w:cs="Helvetica"/>
          <w:sz w:val="28"/>
          <w:szCs w:val="28"/>
        </w:rPr>
        <w:t xml:space="preserve"> As of August 2011, 165,000 of his viewers had joined it.</w:t>
      </w:r>
      <w:hyperlink r:id="rId19" w:anchor="cite_note-38" w:history="1">
        <w:r>
          <w:rPr>
            <w:rFonts w:ascii="Helvetica" w:hAnsi="Helvetica" w:cs="Helvetica"/>
            <w:color w:val="0000FF"/>
            <w:sz w:val="28"/>
            <w:szCs w:val="28"/>
            <w:u w:val="single" w:color="0000FF"/>
            <w:vertAlign w:val="superscript"/>
          </w:rPr>
          <w:t>[39]</w:t>
        </w:r>
      </w:hyperlink>
    </w:p>
    <w:p w14:paraId="510FCA8E" w14:textId="77777777" w:rsidR="004113C6" w:rsidRDefault="004113C6" w:rsidP="004113C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5DA9B53" w14:textId="77777777" w:rsidR="004113C6" w:rsidRDefault="00C045A8" w:rsidP="004113C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20" w:history="1">
        <w:r w:rsidR="004113C6">
          <w:rPr>
            <w:rFonts w:ascii="Helvetica" w:hAnsi="Helvetica" w:cs="Helvetica"/>
            <w:color w:val="386EFF"/>
            <w:u w:val="single" w:color="386EFF"/>
          </w:rPr>
          <w:t>http://en.wikipedia.org/wiki/501(c)_organization</w:t>
        </w:r>
      </w:hyperlink>
    </w:p>
    <w:p w14:paraId="0E85B505" w14:textId="77777777" w:rsidR="004113C6" w:rsidRDefault="004113C6" w:rsidP="004113C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A7E2994" w14:textId="77777777" w:rsidR="004113C6" w:rsidRDefault="00C045A8" w:rsidP="004113C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21" w:history="1">
        <w:r w:rsidR="004113C6">
          <w:rPr>
            <w:rFonts w:ascii="Helvetica" w:hAnsi="Helvetica" w:cs="Helvetica"/>
            <w:color w:val="386EFF"/>
            <w:u w:val="single" w:color="386EFF"/>
          </w:rPr>
          <w:t>http://estela-kennen.suite101.com/what-is-a-501c4-organization-a14959</w:t>
        </w:r>
      </w:hyperlink>
    </w:p>
    <w:p w14:paraId="150DE56A" w14:textId="77777777" w:rsidR="00B424B4" w:rsidRDefault="00B424B4"/>
    <w:sectPr w:rsidR="00B424B4" w:rsidSect="003642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C6"/>
    <w:rsid w:val="004113C6"/>
    <w:rsid w:val="009A6A29"/>
    <w:rsid w:val="00B424B4"/>
    <w:rsid w:val="00C0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F0C11"/>
  <w14:defaultImageDpi w14:val="300"/>
  <w15:docId w15:val="{C376F82E-04EE-4464-B541-314B2D83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501(c)_organization" TargetMode="External"/><Relationship Id="rId13" Type="http://schemas.openxmlformats.org/officeDocument/2006/relationships/hyperlink" Target="http://en.wikipedia.org/wiki/501(c)_organization" TargetMode="External"/><Relationship Id="rId18" Type="http://schemas.openxmlformats.org/officeDocument/2006/relationships/hyperlink" Target="http://en.wikipedia.org/wiki/501(c)_organizat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tela-kennen.suite101.com/what-is-a-501c4-organization-a14959" TargetMode="External"/><Relationship Id="rId7" Type="http://schemas.openxmlformats.org/officeDocument/2006/relationships/hyperlink" Target="http://en.wikipedia.org/wiki/501(c)_organization" TargetMode="External"/><Relationship Id="rId12" Type="http://schemas.openxmlformats.org/officeDocument/2006/relationships/hyperlink" Target="http://en.wikipedia.org/wiki/DISCLOSE_Act" TargetMode="External"/><Relationship Id="rId17" Type="http://schemas.openxmlformats.org/officeDocument/2006/relationships/hyperlink" Target="http://en.wikipedia.org/wiki/Colbert_Super_PA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Super_PAC" TargetMode="External"/><Relationship Id="rId20" Type="http://schemas.openxmlformats.org/officeDocument/2006/relationships/hyperlink" Target="http://en.wikipedia.org/wiki/501(c)_organization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501(c)_organization" TargetMode="External"/><Relationship Id="rId11" Type="http://schemas.openxmlformats.org/officeDocument/2006/relationships/hyperlink" Target="http://en.wikipedia.org/wiki/501(c)_organization" TargetMode="External"/><Relationship Id="rId5" Type="http://schemas.openxmlformats.org/officeDocument/2006/relationships/hyperlink" Target="http://en.wikipedia.org/wiki/Social_welfare" TargetMode="External"/><Relationship Id="rId15" Type="http://schemas.openxmlformats.org/officeDocument/2006/relationships/hyperlink" Target="http://en.wikipedia.org/wiki/Stephen_Colber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n.wikipedia.org/wiki/501(c)_organization" TargetMode="External"/><Relationship Id="rId19" Type="http://schemas.openxmlformats.org/officeDocument/2006/relationships/hyperlink" Target="http://en.wikipedia.org/wiki/501(c)_organization" TargetMode="External"/><Relationship Id="rId4" Type="http://schemas.openxmlformats.org/officeDocument/2006/relationships/hyperlink" Target="http://en.wikipedia.org/wiki/Citizens_United_v._Federal_Election_Commission" TargetMode="External"/><Relationship Id="rId9" Type="http://schemas.openxmlformats.org/officeDocument/2006/relationships/hyperlink" Target="http://en.wikipedia.org/wiki/501(c)_organization" TargetMode="External"/><Relationship Id="rId14" Type="http://schemas.openxmlformats.org/officeDocument/2006/relationships/hyperlink" Target="http://en.wikipedia.org/wiki/501(c)_organiza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Diggs</dc:creator>
  <cp:keywords/>
  <dc:description/>
  <cp:lastModifiedBy>DeLemos, Kathleen</cp:lastModifiedBy>
  <cp:revision>2</cp:revision>
  <dcterms:created xsi:type="dcterms:W3CDTF">2021-05-14T19:41:00Z</dcterms:created>
  <dcterms:modified xsi:type="dcterms:W3CDTF">2021-05-14T19:41:00Z</dcterms:modified>
</cp:coreProperties>
</file>